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47" w:rsidRDefault="00972EAC" w:rsidP="00874B20">
      <w:pPr>
        <w:jc w:val="center"/>
        <w:rPr>
          <w:rFonts w:ascii="CopprplGoth BT" w:hAnsi="CopprplGoth BT"/>
          <w:sz w:val="40"/>
        </w:rPr>
      </w:pPr>
      <w:r>
        <w:rPr>
          <w:rFonts w:ascii="Arial" w:hAnsi="Arial"/>
          <w:noProof/>
          <w:sz w:val="90"/>
        </w:rPr>
        <w:drawing>
          <wp:inline distT="0" distB="0" distL="0" distR="0">
            <wp:extent cx="1318260" cy="1074420"/>
            <wp:effectExtent l="0" t="0" r="0" b="0"/>
            <wp:docPr id="1" name="Picture 1" descr="City%20Logo%20color(final)%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%20Logo%20color(final)%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E47" w:rsidRDefault="00E55E47" w:rsidP="00E55E47">
      <w:pPr>
        <w:jc w:val="center"/>
        <w:rPr>
          <w:sz w:val="16"/>
          <w:szCs w:val="16"/>
        </w:rPr>
      </w:pPr>
    </w:p>
    <w:p w:rsidR="00E55E47" w:rsidRDefault="00874B20" w:rsidP="00E55E47">
      <w:pPr>
        <w:ind w:left="2160"/>
        <w:rPr>
          <w:sz w:val="36"/>
        </w:rPr>
      </w:pPr>
      <w:r>
        <w:rPr>
          <w:sz w:val="36"/>
        </w:rPr>
        <w:t xml:space="preserve"> </w:t>
      </w:r>
      <w:r w:rsidR="00E55E47">
        <w:rPr>
          <w:sz w:val="36"/>
        </w:rPr>
        <w:t>CITY OF ENNIS, TEXAS</w:t>
      </w:r>
    </w:p>
    <w:p w:rsidR="00E55E47" w:rsidRDefault="00E55E47" w:rsidP="00E55E47">
      <w:pPr>
        <w:jc w:val="center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P.O. Box 220 </w:t>
      </w:r>
      <w:r>
        <w:rPr>
          <w:rFonts w:ascii="Arial" w:hAnsi="Arial"/>
          <w:sz w:val="18"/>
        </w:rPr>
        <w:sym w:font="Symbol" w:char="F0B7"/>
      </w:r>
      <w:r>
        <w:rPr>
          <w:rFonts w:ascii="Arial" w:hAnsi="Arial"/>
          <w:sz w:val="18"/>
        </w:rPr>
        <w:t xml:space="preserve"> Ennis, Texas 75120 </w:t>
      </w:r>
      <w:r>
        <w:rPr>
          <w:rFonts w:ascii="Arial" w:hAnsi="Arial"/>
          <w:sz w:val="18"/>
        </w:rPr>
        <w:sym w:font="Symbol" w:char="F0B7"/>
      </w:r>
      <w:r>
        <w:rPr>
          <w:rFonts w:ascii="Arial" w:hAnsi="Arial"/>
          <w:sz w:val="18"/>
        </w:rPr>
        <w:t xml:space="preserve"> (972) 878-1234 </w:t>
      </w:r>
      <w:r>
        <w:rPr>
          <w:rFonts w:ascii="Arial" w:hAnsi="Arial"/>
          <w:sz w:val="18"/>
        </w:rPr>
        <w:sym w:font="Symbol" w:char="F0B7"/>
      </w:r>
      <w:r>
        <w:rPr>
          <w:rFonts w:ascii="Arial" w:hAnsi="Arial"/>
          <w:sz w:val="18"/>
        </w:rPr>
        <w:t xml:space="preserve"> FAX (972) 872-9817</w:t>
      </w:r>
    </w:p>
    <w:p w:rsidR="006273B1" w:rsidRPr="000A666F" w:rsidRDefault="00874B20" w:rsidP="00874B20">
      <w:pPr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20"/>
          <w:szCs w:val="20"/>
        </w:rPr>
        <w:t xml:space="preserve">                                                         </w:t>
      </w:r>
      <w:r w:rsidR="000A666F" w:rsidRPr="000A666F">
        <w:rPr>
          <w:rFonts w:ascii="Arial" w:hAnsi="Arial"/>
          <w:sz w:val="18"/>
          <w:szCs w:val="18"/>
          <w:u w:val="single"/>
        </w:rPr>
        <w:t>http://www.ennistx.gov</w:t>
      </w:r>
    </w:p>
    <w:p w:rsidR="00140F0F" w:rsidRDefault="001C7C34" w:rsidP="00E611F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 w:rsidR="007609FD" w:rsidRDefault="001C7C34" w:rsidP="00E611FA"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                                                        </w:t>
      </w:r>
    </w:p>
    <w:p w:rsidR="001C7C34" w:rsidRDefault="002B6404" w:rsidP="009E28A9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September 20, 2017</w:t>
      </w:r>
    </w:p>
    <w:p w:rsidR="00851D2B" w:rsidRPr="00E611FA" w:rsidRDefault="00851D2B" w:rsidP="009E28A9">
      <w:pPr>
        <w:rPr>
          <w:rFonts w:ascii="Arial" w:hAnsi="Arial"/>
          <w:sz w:val="20"/>
          <w:szCs w:val="20"/>
        </w:rPr>
      </w:pPr>
    </w:p>
    <w:p w:rsidR="00F36110" w:rsidRDefault="00F36110" w:rsidP="00E611FA">
      <w:pPr>
        <w:jc w:val="both"/>
        <w:rPr>
          <w:rFonts w:ascii="Arial" w:hAnsi="Arial"/>
          <w:sz w:val="20"/>
          <w:szCs w:val="20"/>
        </w:rPr>
      </w:pPr>
    </w:p>
    <w:p w:rsidR="000A666F" w:rsidRDefault="002D4250" w:rsidP="00851D2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To whom it may concern:</w:t>
      </w:r>
    </w:p>
    <w:p w:rsidR="00851D2B" w:rsidRDefault="00851D2B" w:rsidP="00851D2B">
      <w:pPr>
        <w:rPr>
          <w:rFonts w:ascii="Arial" w:hAnsi="Arial"/>
          <w:sz w:val="20"/>
          <w:szCs w:val="20"/>
        </w:rPr>
      </w:pPr>
    </w:p>
    <w:p w:rsidR="007A1A4A" w:rsidRPr="00E611FA" w:rsidRDefault="007A1A4A" w:rsidP="00E611FA">
      <w:pPr>
        <w:jc w:val="both"/>
        <w:rPr>
          <w:rFonts w:ascii="Arial" w:hAnsi="Arial"/>
          <w:sz w:val="20"/>
          <w:szCs w:val="20"/>
        </w:rPr>
      </w:pPr>
    </w:p>
    <w:p w:rsidR="002D4250" w:rsidRPr="007175FF" w:rsidRDefault="00A626A5" w:rsidP="00A626A5">
      <w:pPr>
        <w:jc w:val="both"/>
        <w:rPr>
          <w:rFonts w:ascii="Arial" w:hAnsi="Arial"/>
          <w:b/>
          <w:sz w:val="20"/>
          <w:szCs w:val="20"/>
          <w:u w:val="single"/>
        </w:rPr>
      </w:pPr>
      <w:r w:rsidRPr="007175FF">
        <w:rPr>
          <w:rFonts w:ascii="Arial" w:hAnsi="Arial"/>
          <w:b/>
          <w:sz w:val="20"/>
          <w:szCs w:val="20"/>
        </w:rPr>
        <w:t xml:space="preserve">Re: </w:t>
      </w:r>
      <w:r w:rsidRPr="007175FF">
        <w:rPr>
          <w:rFonts w:ascii="Arial" w:hAnsi="Arial"/>
          <w:b/>
          <w:sz w:val="20"/>
          <w:szCs w:val="20"/>
          <w:u w:val="single"/>
        </w:rPr>
        <w:t>Prescription Drug Benefits Changes effective 10/01/2017</w:t>
      </w:r>
    </w:p>
    <w:p w:rsidR="00140F0F" w:rsidRDefault="00140F0F" w:rsidP="00E611FA">
      <w:pPr>
        <w:jc w:val="both"/>
        <w:rPr>
          <w:rFonts w:ascii="Arial" w:hAnsi="Arial"/>
          <w:sz w:val="20"/>
          <w:szCs w:val="20"/>
        </w:rPr>
      </w:pPr>
    </w:p>
    <w:p w:rsidR="00A46476" w:rsidRDefault="005643F9" w:rsidP="00A46476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Effective October 1, 2017 Specialty</w:t>
      </w:r>
      <w:r w:rsidR="00A46476">
        <w:rPr>
          <w:rFonts w:ascii="Arial" w:hAnsi="Arial" w:cs="Arial"/>
          <w:color w:val="000000"/>
          <w:sz w:val="19"/>
          <w:szCs w:val="19"/>
        </w:rPr>
        <w:t xml:space="preserve"> Pharmacy drugs will not be covered as part of</w:t>
      </w:r>
      <w:r w:rsidR="00B212FE">
        <w:rPr>
          <w:rFonts w:ascii="Arial" w:hAnsi="Arial" w:cs="Arial"/>
          <w:color w:val="000000"/>
          <w:sz w:val="19"/>
          <w:szCs w:val="19"/>
        </w:rPr>
        <w:t xml:space="preserve"> the City’s</w:t>
      </w:r>
      <w:r w:rsidR="00A46476">
        <w:rPr>
          <w:rFonts w:ascii="Arial" w:hAnsi="Arial" w:cs="Arial"/>
          <w:color w:val="000000"/>
          <w:sz w:val="19"/>
          <w:szCs w:val="19"/>
        </w:rPr>
        <w:t xml:space="preserve"> Pharmacy b</w:t>
      </w:r>
      <w:r>
        <w:rPr>
          <w:rFonts w:ascii="Arial" w:hAnsi="Arial" w:cs="Arial"/>
          <w:color w:val="000000"/>
          <w:sz w:val="19"/>
          <w:szCs w:val="19"/>
        </w:rPr>
        <w:t xml:space="preserve">enefit plan. The </w:t>
      </w:r>
      <w:r w:rsidR="00B212FE">
        <w:rPr>
          <w:rFonts w:ascii="Arial" w:hAnsi="Arial" w:cs="Arial"/>
          <w:color w:val="000000"/>
          <w:sz w:val="19"/>
          <w:szCs w:val="19"/>
        </w:rPr>
        <w:t xml:space="preserve">complete </w:t>
      </w:r>
      <w:r>
        <w:rPr>
          <w:rFonts w:ascii="Arial" w:hAnsi="Arial" w:cs="Arial"/>
          <w:color w:val="000000"/>
          <w:sz w:val="19"/>
          <w:szCs w:val="19"/>
        </w:rPr>
        <w:t xml:space="preserve">list of </w:t>
      </w:r>
      <w:r w:rsidR="00B212FE">
        <w:rPr>
          <w:rFonts w:ascii="Arial" w:hAnsi="Arial" w:cs="Arial"/>
          <w:color w:val="000000"/>
          <w:sz w:val="19"/>
          <w:szCs w:val="19"/>
        </w:rPr>
        <w:t xml:space="preserve">excluded </w:t>
      </w:r>
      <w:r>
        <w:rPr>
          <w:rFonts w:ascii="Arial" w:hAnsi="Arial" w:cs="Arial"/>
          <w:color w:val="000000"/>
          <w:sz w:val="19"/>
          <w:szCs w:val="19"/>
        </w:rPr>
        <w:t xml:space="preserve">specialty pharmacy drugs </w:t>
      </w:r>
      <w:r w:rsidR="00B212FE">
        <w:rPr>
          <w:rFonts w:ascii="Arial" w:hAnsi="Arial" w:cs="Arial"/>
          <w:color w:val="000000"/>
          <w:sz w:val="19"/>
          <w:szCs w:val="19"/>
        </w:rPr>
        <w:t>is available at www.ennistx.gov/human-resources/</w:t>
      </w:r>
      <w:r>
        <w:rPr>
          <w:rFonts w:ascii="Arial" w:hAnsi="Arial" w:cs="Arial"/>
          <w:color w:val="000000"/>
          <w:sz w:val="19"/>
          <w:szCs w:val="19"/>
        </w:rPr>
        <w:t xml:space="preserve">. </w:t>
      </w:r>
      <w:r w:rsidR="00B212FE">
        <w:rPr>
          <w:rFonts w:ascii="Arial" w:hAnsi="Arial" w:cs="Arial"/>
          <w:color w:val="000000"/>
          <w:sz w:val="19"/>
          <w:szCs w:val="19"/>
        </w:rPr>
        <w:t xml:space="preserve">A </w:t>
      </w:r>
      <w:r w:rsidR="00B212FE" w:rsidRPr="004C0D3A">
        <w:rPr>
          <w:rFonts w:ascii="Arial" w:hAnsi="Arial" w:cs="Arial"/>
          <w:color w:val="000000"/>
          <w:sz w:val="19"/>
          <w:szCs w:val="19"/>
          <w:u w:val="single"/>
        </w:rPr>
        <w:t>partial</w:t>
      </w:r>
      <w:r w:rsidR="00B212FE">
        <w:rPr>
          <w:rFonts w:ascii="Arial" w:hAnsi="Arial" w:cs="Arial"/>
          <w:color w:val="000000"/>
          <w:sz w:val="19"/>
          <w:szCs w:val="19"/>
        </w:rPr>
        <w:t xml:space="preserve"> list of currently prescribed medications that will no longer be covered by the plan is listed below for your reference.  </w:t>
      </w:r>
      <w:r w:rsidR="007175FF">
        <w:rPr>
          <w:rFonts w:ascii="Arial" w:hAnsi="Arial" w:cs="Arial"/>
          <w:color w:val="000000"/>
          <w:sz w:val="19"/>
          <w:szCs w:val="19"/>
        </w:rPr>
        <w:t xml:space="preserve">Members who currently </w:t>
      </w:r>
      <w:r w:rsidR="00A46476">
        <w:rPr>
          <w:rFonts w:ascii="Arial" w:hAnsi="Arial" w:cs="Arial"/>
          <w:color w:val="000000"/>
          <w:sz w:val="19"/>
          <w:szCs w:val="19"/>
        </w:rPr>
        <w:t xml:space="preserve">have a </w:t>
      </w:r>
      <w:r w:rsidR="00B212FE">
        <w:rPr>
          <w:rFonts w:ascii="Arial" w:hAnsi="Arial" w:cs="Arial"/>
          <w:color w:val="000000"/>
          <w:sz w:val="19"/>
          <w:szCs w:val="19"/>
        </w:rPr>
        <w:t>s</w:t>
      </w:r>
      <w:r w:rsidR="007175FF">
        <w:rPr>
          <w:rFonts w:ascii="Arial" w:hAnsi="Arial" w:cs="Arial"/>
          <w:color w:val="000000"/>
          <w:sz w:val="19"/>
          <w:szCs w:val="19"/>
        </w:rPr>
        <w:t xml:space="preserve">pecialty </w:t>
      </w:r>
      <w:r w:rsidR="00A46476">
        <w:rPr>
          <w:rFonts w:ascii="Arial" w:hAnsi="Arial" w:cs="Arial"/>
          <w:color w:val="000000"/>
          <w:sz w:val="19"/>
          <w:szCs w:val="19"/>
        </w:rPr>
        <w:t xml:space="preserve">drug prescription </w:t>
      </w:r>
      <w:r w:rsidR="00B212FE">
        <w:rPr>
          <w:rFonts w:ascii="Arial" w:hAnsi="Arial" w:cs="Arial"/>
          <w:color w:val="000000"/>
          <w:sz w:val="19"/>
          <w:szCs w:val="19"/>
        </w:rPr>
        <w:t>are encouraged to</w:t>
      </w:r>
      <w:r w:rsidR="007175FF">
        <w:rPr>
          <w:rFonts w:ascii="Arial" w:hAnsi="Arial" w:cs="Arial"/>
          <w:color w:val="000000"/>
          <w:sz w:val="19"/>
          <w:szCs w:val="19"/>
        </w:rPr>
        <w:t xml:space="preserve"> contact GPA Nurse N</w:t>
      </w:r>
      <w:r w:rsidR="00A46476">
        <w:rPr>
          <w:rFonts w:ascii="Arial" w:hAnsi="Arial" w:cs="Arial"/>
          <w:color w:val="000000"/>
          <w:sz w:val="19"/>
          <w:szCs w:val="19"/>
        </w:rPr>
        <w:t xml:space="preserve">avigator for further assistance. </w:t>
      </w:r>
    </w:p>
    <w:p w:rsidR="007175FF" w:rsidRDefault="007175FF" w:rsidP="007175FF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</w:p>
    <w:p w:rsidR="005643F9" w:rsidRDefault="007175FF" w:rsidP="005643F9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To </w:t>
      </w:r>
      <w:r w:rsidR="005643F9">
        <w:rPr>
          <w:rFonts w:ascii="Arial" w:hAnsi="Arial" w:cs="Arial"/>
          <w:color w:val="000000"/>
          <w:sz w:val="19"/>
          <w:szCs w:val="19"/>
        </w:rPr>
        <w:t xml:space="preserve">contact GPA </w:t>
      </w:r>
      <w:r w:rsidR="005643F9">
        <w:rPr>
          <w:rFonts w:ascii="Arial" w:hAnsi="Arial" w:cs="Arial"/>
          <w:color w:val="500050"/>
          <w:sz w:val="19"/>
          <w:szCs w:val="19"/>
        </w:rPr>
        <w:t>Nurse Navigator</w:t>
      </w:r>
      <w:r w:rsidR="001C1A71">
        <w:rPr>
          <w:rFonts w:ascii="Arial" w:hAnsi="Arial" w:cs="Arial"/>
          <w:color w:val="500050"/>
          <w:sz w:val="19"/>
          <w:szCs w:val="19"/>
        </w:rPr>
        <w:t xml:space="preserve">, </w:t>
      </w:r>
      <w:r w:rsidR="00B212FE">
        <w:rPr>
          <w:rFonts w:ascii="Arial" w:hAnsi="Arial" w:cs="Arial"/>
          <w:color w:val="500050"/>
          <w:sz w:val="19"/>
          <w:szCs w:val="19"/>
        </w:rPr>
        <w:t xml:space="preserve">please </w:t>
      </w:r>
      <w:r w:rsidR="001C1A71">
        <w:rPr>
          <w:rFonts w:ascii="Arial" w:hAnsi="Arial" w:cs="Arial"/>
          <w:color w:val="500050"/>
          <w:sz w:val="19"/>
          <w:szCs w:val="19"/>
        </w:rPr>
        <w:t>use</w:t>
      </w:r>
      <w:r w:rsidR="005643F9">
        <w:rPr>
          <w:rFonts w:ascii="Arial" w:hAnsi="Arial" w:cs="Arial"/>
          <w:color w:val="500050"/>
          <w:sz w:val="19"/>
          <w:szCs w:val="19"/>
        </w:rPr>
        <w:t>:</w:t>
      </w:r>
      <w:r w:rsidR="005643F9">
        <w:rPr>
          <w:rFonts w:ascii="Arial" w:hAnsi="Arial" w:cs="Arial"/>
          <w:color w:val="1F497D"/>
          <w:sz w:val="19"/>
          <w:szCs w:val="19"/>
        </w:rPr>
        <w:t>  </w:t>
      </w:r>
    </w:p>
    <w:p w:rsidR="005643F9" w:rsidRDefault="005643F9" w:rsidP="005643F9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 </w:t>
      </w:r>
    </w:p>
    <w:p w:rsidR="005643F9" w:rsidRDefault="005643F9" w:rsidP="005643F9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Local Phone Number:  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972-619-2531</w:t>
        </w:r>
      </w:hyperlink>
      <w:r>
        <w:rPr>
          <w:rFonts w:ascii="Arial" w:hAnsi="Arial" w:cs="Arial"/>
          <w:color w:val="1F497D"/>
          <w:sz w:val="19"/>
          <w:szCs w:val="19"/>
        </w:rPr>
        <w:t> option 1,</w:t>
      </w:r>
    </w:p>
    <w:p w:rsidR="005643F9" w:rsidRDefault="005643F9" w:rsidP="005643F9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Toll Free Number:  </w:t>
      </w:r>
      <w:hyperlink r:id="rId7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800-843-6705</w:t>
        </w:r>
      </w:hyperlink>
      <w:r>
        <w:rPr>
          <w:rFonts w:ascii="Arial" w:hAnsi="Arial" w:cs="Arial"/>
          <w:color w:val="1F497D"/>
          <w:sz w:val="19"/>
          <w:szCs w:val="19"/>
        </w:rPr>
        <w:t> option 1</w:t>
      </w:r>
    </w:p>
    <w:p w:rsidR="005643F9" w:rsidRDefault="005643F9" w:rsidP="005643F9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1F497D"/>
          <w:sz w:val="19"/>
          <w:szCs w:val="19"/>
        </w:rPr>
        <w:t>Email: </w:t>
      </w:r>
      <w:hyperlink r:id="rId8" w:tgtFrame="_blank" w:history="1">
        <w:r>
          <w:rPr>
            <w:rStyle w:val="Hyperlink"/>
            <w:rFonts w:ascii="Arial" w:hAnsi="Arial" w:cs="Arial"/>
            <w:color w:val="1155CC"/>
            <w:sz w:val="19"/>
            <w:szCs w:val="19"/>
          </w:rPr>
          <w:t>nursenavigator@gpatpa.com</w:t>
        </w:r>
      </w:hyperlink>
    </w:p>
    <w:p w:rsidR="005643F9" w:rsidRDefault="005643F9" w:rsidP="005643F9">
      <w:pPr>
        <w:shd w:val="clear" w:color="auto" w:fill="FFFFFF"/>
        <w:rPr>
          <w:rFonts w:ascii="Arial" w:hAnsi="Arial" w:cs="Arial"/>
          <w:color w:val="50005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5643F9" w:rsidRDefault="00B212FE" w:rsidP="00E611F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Prescribed Medications that will not be covered as of Oct. 01, 2017:</w:t>
      </w:r>
    </w:p>
    <w:p w:rsidR="00B212FE" w:rsidRDefault="00B212FE" w:rsidP="00E611FA">
      <w:pPr>
        <w:jc w:val="both"/>
        <w:rPr>
          <w:rFonts w:ascii="Arial" w:hAnsi="Arial"/>
          <w:sz w:val="20"/>
          <w:szCs w:val="20"/>
        </w:rPr>
      </w:pPr>
    </w:p>
    <w:p w:rsidR="00B212FE" w:rsidRDefault="00B212FE" w:rsidP="00E611FA">
      <w:p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Cayston</w:t>
      </w:r>
      <w:proofErr w:type="spellEnd"/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Fondaparinux</w:t>
      </w:r>
      <w:proofErr w:type="spellEnd"/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047810">
        <w:rPr>
          <w:rFonts w:ascii="Arial" w:hAnsi="Arial"/>
          <w:sz w:val="20"/>
          <w:szCs w:val="20"/>
        </w:rPr>
        <w:t>Methotrexate</w:t>
      </w:r>
      <w:r w:rsidR="00047810">
        <w:rPr>
          <w:rFonts w:ascii="Arial" w:hAnsi="Arial"/>
          <w:sz w:val="20"/>
          <w:szCs w:val="20"/>
        </w:rPr>
        <w:tab/>
      </w:r>
      <w:r w:rsidR="00047810">
        <w:rPr>
          <w:rFonts w:ascii="Arial" w:hAnsi="Arial"/>
          <w:sz w:val="20"/>
          <w:szCs w:val="20"/>
        </w:rPr>
        <w:tab/>
      </w:r>
      <w:proofErr w:type="spellStart"/>
      <w:r w:rsidR="00047810">
        <w:rPr>
          <w:rFonts w:ascii="Arial" w:hAnsi="Arial"/>
          <w:sz w:val="20"/>
          <w:szCs w:val="20"/>
        </w:rPr>
        <w:t>Remicade</w:t>
      </w:r>
      <w:proofErr w:type="spellEnd"/>
    </w:p>
    <w:p w:rsidR="00B212FE" w:rsidRDefault="00B212FE" w:rsidP="00E611F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Emend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Humira</w:t>
      </w:r>
      <w:proofErr w:type="spellEnd"/>
      <w:r w:rsidR="00047810">
        <w:rPr>
          <w:rFonts w:ascii="Arial" w:hAnsi="Arial"/>
          <w:sz w:val="20"/>
          <w:szCs w:val="20"/>
        </w:rPr>
        <w:tab/>
      </w:r>
      <w:r w:rsidR="00047810">
        <w:rPr>
          <w:rFonts w:ascii="Arial" w:hAnsi="Arial"/>
          <w:sz w:val="20"/>
          <w:szCs w:val="20"/>
        </w:rPr>
        <w:tab/>
      </w:r>
      <w:r w:rsidR="00047810">
        <w:rPr>
          <w:rFonts w:ascii="Arial" w:hAnsi="Arial"/>
          <w:sz w:val="20"/>
          <w:szCs w:val="20"/>
        </w:rPr>
        <w:tab/>
        <w:t>Mycophenolate</w:t>
      </w:r>
      <w:r w:rsidR="00047810">
        <w:rPr>
          <w:rFonts w:ascii="Arial" w:hAnsi="Arial"/>
          <w:sz w:val="20"/>
          <w:szCs w:val="20"/>
        </w:rPr>
        <w:tab/>
      </w:r>
      <w:r w:rsidR="00047810">
        <w:rPr>
          <w:rFonts w:ascii="Arial" w:hAnsi="Arial"/>
          <w:sz w:val="20"/>
          <w:szCs w:val="20"/>
        </w:rPr>
        <w:tab/>
        <w:t>Tobramycin</w:t>
      </w:r>
    </w:p>
    <w:p w:rsidR="00B212FE" w:rsidRDefault="00B212FE" w:rsidP="00E611F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Enbrel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Kitabis</w:t>
      </w:r>
      <w:proofErr w:type="spellEnd"/>
      <w:r>
        <w:rPr>
          <w:rFonts w:ascii="Arial" w:hAnsi="Arial"/>
          <w:sz w:val="20"/>
          <w:szCs w:val="20"/>
        </w:rPr>
        <w:t xml:space="preserve"> Pak</w:t>
      </w:r>
      <w:r w:rsidR="00047810">
        <w:rPr>
          <w:rFonts w:ascii="Arial" w:hAnsi="Arial"/>
          <w:sz w:val="20"/>
          <w:szCs w:val="20"/>
        </w:rPr>
        <w:tab/>
      </w:r>
      <w:r w:rsidR="00047810">
        <w:rPr>
          <w:rFonts w:ascii="Arial" w:hAnsi="Arial"/>
          <w:sz w:val="20"/>
          <w:szCs w:val="20"/>
        </w:rPr>
        <w:tab/>
      </w:r>
      <w:proofErr w:type="spellStart"/>
      <w:r w:rsidR="00047810">
        <w:rPr>
          <w:rFonts w:ascii="Arial" w:hAnsi="Arial"/>
          <w:sz w:val="20"/>
          <w:szCs w:val="20"/>
        </w:rPr>
        <w:t>Otezla</w:t>
      </w:r>
      <w:proofErr w:type="spellEnd"/>
    </w:p>
    <w:p w:rsidR="00A626A5" w:rsidRDefault="00B212FE" w:rsidP="00E611FA">
      <w:pPr>
        <w:jc w:val="both"/>
        <w:rPr>
          <w:rFonts w:ascii="Arial" w:hAnsi="Arial"/>
          <w:sz w:val="20"/>
          <w:szCs w:val="20"/>
        </w:rPr>
      </w:pPr>
      <w:proofErr w:type="spellStart"/>
      <w:r>
        <w:rPr>
          <w:rFonts w:ascii="Arial" w:hAnsi="Arial"/>
          <w:sz w:val="20"/>
          <w:szCs w:val="20"/>
        </w:rPr>
        <w:t>Enoxaprin</w:t>
      </w:r>
      <w:proofErr w:type="spellEnd"/>
      <w:r>
        <w:rPr>
          <w:rFonts w:ascii="Arial" w:hAnsi="Arial"/>
          <w:sz w:val="20"/>
          <w:szCs w:val="20"/>
        </w:rPr>
        <w:tab/>
      </w:r>
      <w:proofErr w:type="spellStart"/>
      <w:r>
        <w:rPr>
          <w:rFonts w:ascii="Arial" w:hAnsi="Arial"/>
          <w:sz w:val="20"/>
          <w:szCs w:val="20"/>
        </w:rPr>
        <w:t>Leucovorin</w:t>
      </w:r>
      <w:proofErr w:type="spellEnd"/>
      <w:r w:rsidR="00047810">
        <w:rPr>
          <w:rFonts w:ascii="Arial" w:hAnsi="Arial"/>
          <w:sz w:val="20"/>
          <w:szCs w:val="20"/>
        </w:rPr>
        <w:tab/>
      </w:r>
      <w:r w:rsidR="00047810">
        <w:rPr>
          <w:rFonts w:ascii="Arial" w:hAnsi="Arial"/>
          <w:sz w:val="20"/>
          <w:szCs w:val="20"/>
        </w:rPr>
        <w:tab/>
      </w:r>
      <w:proofErr w:type="spellStart"/>
      <w:r w:rsidR="00047810">
        <w:rPr>
          <w:rFonts w:ascii="Arial" w:hAnsi="Arial"/>
          <w:sz w:val="20"/>
          <w:szCs w:val="20"/>
        </w:rPr>
        <w:t>Rasuvo</w:t>
      </w:r>
      <w:proofErr w:type="spellEnd"/>
    </w:p>
    <w:p w:rsidR="00B212FE" w:rsidRPr="00E611FA" w:rsidRDefault="00B212FE" w:rsidP="00E611FA">
      <w:pPr>
        <w:jc w:val="both"/>
        <w:rPr>
          <w:rFonts w:ascii="Arial" w:hAnsi="Arial"/>
          <w:sz w:val="20"/>
          <w:szCs w:val="20"/>
        </w:rPr>
      </w:pPr>
    </w:p>
    <w:p w:rsidR="00140F0F" w:rsidRDefault="002D4250" w:rsidP="00E611F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For more information or question</w:t>
      </w:r>
      <w:r w:rsidR="00851D2B">
        <w:rPr>
          <w:rFonts w:ascii="Arial" w:hAnsi="Arial"/>
          <w:sz w:val="20"/>
          <w:szCs w:val="20"/>
        </w:rPr>
        <w:t>s</w:t>
      </w:r>
      <w:r>
        <w:rPr>
          <w:rFonts w:ascii="Arial" w:hAnsi="Arial"/>
          <w:sz w:val="20"/>
          <w:szCs w:val="20"/>
        </w:rPr>
        <w:t xml:space="preserve">, </w:t>
      </w:r>
      <w:r w:rsidR="00E16FCD">
        <w:rPr>
          <w:rFonts w:ascii="Arial" w:hAnsi="Arial"/>
          <w:sz w:val="20"/>
          <w:szCs w:val="20"/>
        </w:rPr>
        <w:t xml:space="preserve">you may also </w:t>
      </w:r>
      <w:r>
        <w:rPr>
          <w:rFonts w:ascii="Arial" w:hAnsi="Arial"/>
          <w:sz w:val="20"/>
          <w:szCs w:val="20"/>
        </w:rPr>
        <w:t>contact Human Resources</w:t>
      </w:r>
      <w:r w:rsidR="003C38F7">
        <w:rPr>
          <w:rFonts w:ascii="Arial" w:hAnsi="Arial"/>
          <w:sz w:val="20"/>
          <w:szCs w:val="20"/>
        </w:rPr>
        <w:t xml:space="preserve">: </w:t>
      </w:r>
      <w:r>
        <w:rPr>
          <w:rFonts w:ascii="Arial" w:hAnsi="Arial"/>
          <w:sz w:val="20"/>
          <w:szCs w:val="20"/>
        </w:rPr>
        <w:t>972</w:t>
      </w:r>
      <w:r w:rsidR="003C38F7">
        <w:rPr>
          <w:rFonts w:ascii="Arial" w:hAnsi="Arial"/>
          <w:sz w:val="20"/>
          <w:szCs w:val="20"/>
        </w:rPr>
        <w:t>.</w:t>
      </w:r>
      <w:r>
        <w:rPr>
          <w:rFonts w:ascii="Arial" w:hAnsi="Arial"/>
          <w:sz w:val="20"/>
          <w:szCs w:val="20"/>
        </w:rPr>
        <w:t>878</w:t>
      </w:r>
      <w:r w:rsidR="00912254">
        <w:rPr>
          <w:rFonts w:ascii="Arial" w:hAnsi="Arial"/>
          <w:sz w:val="20"/>
          <w:szCs w:val="20"/>
        </w:rPr>
        <w:t>.1</w:t>
      </w:r>
      <w:r>
        <w:rPr>
          <w:rFonts w:ascii="Arial" w:hAnsi="Arial"/>
          <w:sz w:val="20"/>
          <w:szCs w:val="20"/>
        </w:rPr>
        <w:t xml:space="preserve">234 </w:t>
      </w:r>
      <w:r w:rsidR="00B212FE">
        <w:rPr>
          <w:rFonts w:ascii="Arial" w:hAnsi="Arial"/>
          <w:sz w:val="20"/>
          <w:szCs w:val="20"/>
        </w:rPr>
        <w:t>x</w:t>
      </w:r>
      <w:r w:rsidR="00E16FCD">
        <w:rPr>
          <w:rFonts w:ascii="Arial" w:hAnsi="Arial"/>
          <w:sz w:val="20"/>
          <w:szCs w:val="20"/>
        </w:rPr>
        <w:t>2222</w:t>
      </w:r>
      <w:r w:rsidR="00912254">
        <w:rPr>
          <w:rFonts w:ascii="Arial" w:hAnsi="Arial"/>
          <w:sz w:val="20"/>
          <w:szCs w:val="20"/>
        </w:rPr>
        <w:t>.</w:t>
      </w:r>
    </w:p>
    <w:p w:rsidR="00140F0F" w:rsidRDefault="00140F0F" w:rsidP="00E611FA">
      <w:pPr>
        <w:jc w:val="both"/>
        <w:rPr>
          <w:rFonts w:ascii="Arial" w:hAnsi="Arial"/>
          <w:sz w:val="20"/>
          <w:szCs w:val="20"/>
        </w:rPr>
      </w:pPr>
    </w:p>
    <w:p w:rsidR="00140F0F" w:rsidRPr="00E611FA" w:rsidRDefault="00140F0F" w:rsidP="00E611FA">
      <w:pPr>
        <w:jc w:val="both"/>
        <w:rPr>
          <w:rFonts w:ascii="Arial" w:hAnsi="Arial"/>
          <w:sz w:val="20"/>
          <w:szCs w:val="20"/>
        </w:rPr>
      </w:pPr>
    </w:p>
    <w:p w:rsidR="00E139DF" w:rsidRDefault="00E139DF" w:rsidP="00E611F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Sincerely, </w:t>
      </w:r>
    </w:p>
    <w:p w:rsidR="00002B41" w:rsidRDefault="00002B41" w:rsidP="00E611FA">
      <w:pPr>
        <w:jc w:val="both"/>
        <w:rPr>
          <w:rFonts w:ascii="Arial" w:hAnsi="Arial"/>
          <w:sz w:val="20"/>
          <w:szCs w:val="20"/>
        </w:rPr>
      </w:pPr>
    </w:p>
    <w:p w:rsidR="00E611FA" w:rsidRPr="004C0D3A" w:rsidRDefault="00163862" w:rsidP="00E611FA">
      <w:pPr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  <w:r w:rsidRPr="004C0D3A">
        <w:rPr>
          <w:rFonts w:ascii="Arial" w:hAnsi="Arial"/>
          <w:sz w:val="20"/>
          <w:szCs w:val="20"/>
        </w:rPr>
        <w:t>Irene Kasujja</w:t>
      </w:r>
    </w:p>
    <w:p w:rsidR="001C7C34" w:rsidRPr="00E611FA" w:rsidRDefault="00163862" w:rsidP="00E611FA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Director of Human Resources</w:t>
      </w:r>
    </w:p>
    <w:p w:rsidR="001C7C34" w:rsidRPr="00E611FA" w:rsidRDefault="001C7C34" w:rsidP="00E611FA">
      <w:pPr>
        <w:jc w:val="both"/>
        <w:rPr>
          <w:rFonts w:ascii="Arial" w:hAnsi="Arial"/>
          <w:sz w:val="20"/>
          <w:szCs w:val="20"/>
        </w:rPr>
      </w:pPr>
    </w:p>
    <w:p w:rsidR="001C7C34" w:rsidRPr="00E611FA" w:rsidRDefault="001C7C34" w:rsidP="00E611FA">
      <w:pPr>
        <w:jc w:val="both"/>
        <w:rPr>
          <w:rFonts w:ascii="Arial" w:hAnsi="Arial"/>
          <w:sz w:val="20"/>
          <w:szCs w:val="20"/>
        </w:rPr>
      </w:pPr>
    </w:p>
    <w:p w:rsidR="001C7C34" w:rsidRPr="00E611FA" w:rsidRDefault="001C7C34" w:rsidP="00E611FA">
      <w:pPr>
        <w:jc w:val="both"/>
        <w:rPr>
          <w:rFonts w:ascii="Arial" w:hAnsi="Arial"/>
          <w:sz w:val="20"/>
          <w:szCs w:val="20"/>
        </w:rPr>
      </w:pPr>
    </w:p>
    <w:p w:rsidR="001C7C34" w:rsidRPr="00E611FA" w:rsidRDefault="001C7C34" w:rsidP="00E611FA">
      <w:pPr>
        <w:jc w:val="both"/>
        <w:rPr>
          <w:sz w:val="20"/>
          <w:szCs w:val="20"/>
        </w:rPr>
      </w:pPr>
    </w:p>
    <w:p w:rsidR="001C7C34" w:rsidRDefault="001C7C34" w:rsidP="00E611FA">
      <w:pPr>
        <w:jc w:val="both"/>
      </w:pPr>
    </w:p>
    <w:p w:rsidR="001C7C34" w:rsidRDefault="001C7C34" w:rsidP="00E611FA">
      <w:pPr>
        <w:jc w:val="both"/>
      </w:pPr>
    </w:p>
    <w:p w:rsidR="001C7C34" w:rsidRDefault="001C7C34" w:rsidP="00E611FA">
      <w:pPr>
        <w:jc w:val="both"/>
      </w:pPr>
    </w:p>
    <w:sectPr w:rsidR="001C7C34" w:rsidSect="00272C32">
      <w:pgSz w:w="12240" w:h="15840"/>
      <w:pgMar w:top="1152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rplGoth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07D05"/>
    <w:multiLevelType w:val="hybridMultilevel"/>
    <w:tmpl w:val="D5AA8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1B"/>
    <w:rsid w:val="00002B41"/>
    <w:rsid w:val="00015D22"/>
    <w:rsid w:val="000204B4"/>
    <w:rsid w:val="00047810"/>
    <w:rsid w:val="00067DA4"/>
    <w:rsid w:val="000A666F"/>
    <w:rsid w:val="00111AB7"/>
    <w:rsid w:val="00111B9E"/>
    <w:rsid w:val="00140F0F"/>
    <w:rsid w:val="00163862"/>
    <w:rsid w:val="0019431B"/>
    <w:rsid w:val="001B6A22"/>
    <w:rsid w:val="001C1A71"/>
    <w:rsid w:val="001C30D5"/>
    <w:rsid w:val="001C7C34"/>
    <w:rsid w:val="0025549C"/>
    <w:rsid w:val="00272C32"/>
    <w:rsid w:val="0027627D"/>
    <w:rsid w:val="002A33B5"/>
    <w:rsid w:val="002B4D24"/>
    <w:rsid w:val="002B6404"/>
    <w:rsid w:val="002C4DAB"/>
    <w:rsid w:val="002D4250"/>
    <w:rsid w:val="002E5E43"/>
    <w:rsid w:val="003A7387"/>
    <w:rsid w:val="003C38F7"/>
    <w:rsid w:val="003D4A48"/>
    <w:rsid w:val="00494897"/>
    <w:rsid w:val="004C0D3A"/>
    <w:rsid w:val="004E7319"/>
    <w:rsid w:val="004F3E33"/>
    <w:rsid w:val="0053678D"/>
    <w:rsid w:val="005643F9"/>
    <w:rsid w:val="005A2F8C"/>
    <w:rsid w:val="005C4614"/>
    <w:rsid w:val="006273B1"/>
    <w:rsid w:val="00646321"/>
    <w:rsid w:val="00692B50"/>
    <w:rsid w:val="0069373A"/>
    <w:rsid w:val="006A5D21"/>
    <w:rsid w:val="006B050A"/>
    <w:rsid w:val="006B5E1A"/>
    <w:rsid w:val="006D5817"/>
    <w:rsid w:val="00705502"/>
    <w:rsid w:val="00715F64"/>
    <w:rsid w:val="007175FF"/>
    <w:rsid w:val="00727D1F"/>
    <w:rsid w:val="00734B9B"/>
    <w:rsid w:val="007426A0"/>
    <w:rsid w:val="007609FD"/>
    <w:rsid w:val="007A1A4A"/>
    <w:rsid w:val="008302D2"/>
    <w:rsid w:val="00851D2B"/>
    <w:rsid w:val="00854CE3"/>
    <w:rsid w:val="00874B20"/>
    <w:rsid w:val="008800A0"/>
    <w:rsid w:val="008A4C85"/>
    <w:rsid w:val="008A5767"/>
    <w:rsid w:val="00912254"/>
    <w:rsid w:val="00972EAC"/>
    <w:rsid w:val="00995D9B"/>
    <w:rsid w:val="00997DC4"/>
    <w:rsid w:val="009C472E"/>
    <w:rsid w:val="009D2E91"/>
    <w:rsid w:val="009D6379"/>
    <w:rsid w:val="009E28A9"/>
    <w:rsid w:val="009F50CA"/>
    <w:rsid w:val="00A0571E"/>
    <w:rsid w:val="00A07876"/>
    <w:rsid w:val="00A3537B"/>
    <w:rsid w:val="00A44878"/>
    <w:rsid w:val="00A46476"/>
    <w:rsid w:val="00A626A5"/>
    <w:rsid w:val="00A86228"/>
    <w:rsid w:val="00AA0ABC"/>
    <w:rsid w:val="00AC13C4"/>
    <w:rsid w:val="00AF4A89"/>
    <w:rsid w:val="00AF7627"/>
    <w:rsid w:val="00B212FE"/>
    <w:rsid w:val="00B574F0"/>
    <w:rsid w:val="00B62778"/>
    <w:rsid w:val="00B65B9D"/>
    <w:rsid w:val="00C141AC"/>
    <w:rsid w:val="00C17A5A"/>
    <w:rsid w:val="00C42A6A"/>
    <w:rsid w:val="00C54966"/>
    <w:rsid w:val="00C93F20"/>
    <w:rsid w:val="00CF414C"/>
    <w:rsid w:val="00D05495"/>
    <w:rsid w:val="00D30132"/>
    <w:rsid w:val="00D926F2"/>
    <w:rsid w:val="00E139DF"/>
    <w:rsid w:val="00E16FCD"/>
    <w:rsid w:val="00E55E47"/>
    <w:rsid w:val="00E611FA"/>
    <w:rsid w:val="00ED30D4"/>
    <w:rsid w:val="00F36110"/>
    <w:rsid w:val="00FD05AF"/>
    <w:rsid w:val="00FD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4D7914C-0B32-4FC3-ABD0-65ACACE6B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81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D5817"/>
    <w:rPr>
      <w:color w:val="0000FF"/>
      <w:u w:val="single"/>
    </w:rPr>
  </w:style>
  <w:style w:type="paragraph" w:styleId="Date">
    <w:name w:val="Date"/>
    <w:basedOn w:val="Normal"/>
    <w:next w:val="Normal"/>
    <w:rsid w:val="0019431B"/>
  </w:style>
  <w:style w:type="paragraph" w:styleId="BalloonText">
    <w:name w:val="Balloon Text"/>
    <w:basedOn w:val="Normal"/>
    <w:link w:val="BalloonTextChar"/>
    <w:uiPriority w:val="99"/>
    <w:semiHidden/>
    <w:unhideWhenUsed/>
    <w:rsid w:val="007609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9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D4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2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enavigator@gpatpa.com" TargetMode="External"/><Relationship Id="rId3" Type="http://schemas.openxmlformats.org/officeDocument/2006/relationships/settings" Target="settings.xml"/><Relationship Id="rId7" Type="http://schemas.openxmlformats.org/officeDocument/2006/relationships/hyperlink" Target="tel:(800)%20843-670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(972)%20619-253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Gateway</Company>
  <LinksUpToDate>false</LinksUpToDate>
  <CharactersWithSpaces>1526</CharactersWithSpaces>
  <SharedDoc>false</SharedDoc>
  <HLinks>
    <vt:vector size="6" baseType="variant">
      <vt:variant>
        <vt:i4>2228287</vt:i4>
      </vt:variant>
      <vt:variant>
        <vt:i4>0</vt:i4>
      </vt:variant>
      <vt:variant>
        <vt:i4>0</vt:i4>
      </vt:variant>
      <vt:variant>
        <vt:i4>5</vt:i4>
      </vt:variant>
      <vt:variant>
        <vt:lpwstr>http://www.ennis-texas.com/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Valued Gateway Client</dc:creator>
  <cp:keywords/>
  <dc:description/>
  <cp:lastModifiedBy>Irene Kasujja</cp:lastModifiedBy>
  <cp:revision>2</cp:revision>
  <cp:lastPrinted>2017-09-21T15:24:00Z</cp:lastPrinted>
  <dcterms:created xsi:type="dcterms:W3CDTF">2017-09-27T19:49:00Z</dcterms:created>
  <dcterms:modified xsi:type="dcterms:W3CDTF">2017-09-27T19:49:00Z</dcterms:modified>
</cp:coreProperties>
</file>